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4610A" w14:textId="33C056F2" w:rsidR="00D97558" w:rsidRPr="00821380" w:rsidRDefault="00D97558" w:rsidP="00D74F01">
      <w:pPr>
        <w:jc w:val="center"/>
        <w:rPr>
          <w:rFonts w:ascii="Tahoma" w:hAnsi="Tahoma" w:cs="Tahoma"/>
          <w:b/>
          <w:i/>
        </w:rPr>
      </w:pPr>
      <w:r w:rsidRPr="00821380">
        <w:rPr>
          <w:rFonts w:ascii="Tahoma" w:hAnsi="Tahoma" w:cs="Tahoma"/>
          <w:b/>
          <w:i/>
        </w:rPr>
        <w:t>Вопросы по Священному Писанию Нового Завета</w:t>
      </w:r>
    </w:p>
    <w:p w14:paraId="1CB4068F" w14:textId="77777777" w:rsidR="0007575B" w:rsidRPr="00821380" w:rsidRDefault="0007575B" w:rsidP="00D74F01">
      <w:pPr>
        <w:jc w:val="center"/>
        <w:rPr>
          <w:rFonts w:ascii="Tahoma" w:hAnsi="Tahoma" w:cs="Tahoma"/>
          <w:b/>
          <w:i/>
        </w:rPr>
      </w:pPr>
    </w:p>
    <w:p w14:paraId="2DBAC8A4" w14:textId="715849BB" w:rsidR="00463EA9" w:rsidRPr="00821380" w:rsidRDefault="00463EA9" w:rsidP="00C81AF4">
      <w:pPr>
        <w:pStyle w:val="a8"/>
        <w:numPr>
          <w:ilvl w:val="0"/>
          <w:numId w:val="9"/>
        </w:numPr>
        <w:tabs>
          <w:tab w:val="left" w:pos="1134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Главнейшие особенности каждого из четырех Евангелий: авторство, адресат, цель, время написания, характерные черты, самобытность, символ.</w:t>
      </w:r>
      <w:r w:rsidR="00C81AF4" w:rsidRPr="00821380">
        <w:rPr>
          <w:rFonts w:ascii="Tahoma" w:hAnsi="Tahoma" w:cs="Tahoma"/>
          <w:sz w:val="24"/>
          <w:szCs w:val="24"/>
        </w:rPr>
        <w:t xml:space="preserve"> </w:t>
      </w:r>
      <w:r w:rsidRPr="00821380">
        <w:rPr>
          <w:rFonts w:ascii="Tahoma" w:hAnsi="Tahoma" w:cs="Tahoma"/>
          <w:sz w:val="24"/>
          <w:szCs w:val="24"/>
        </w:rPr>
        <w:t>Пролог Евангелия от Иоанна (Ин. 1.1-18) – догматический анализ: учение о предвечном бытии и о воплощении Божественного Логоса, сотериологический аспект. Пролог как принципиальный ключ к пониманию Четвертого Евангелия.</w:t>
      </w:r>
    </w:p>
    <w:p w14:paraId="63118D3B" w14:textId="77777777" w:rsidR="0007575B" w:rsidRPr="00821380" w:rsidRDefault="0007575B" w:rsidP="0007575B">
      <w:pPr>
        <w:pStyle w:val="a8"/>
        <w:tabs>
          <w:tab w:val="left" w:pos="1134"/>
        </w:tabs>
        <w:ind w:left="851" w:firstLine="0"/>
        <w:rPr>
          <w:rFonts w:ascii="Tahoma" w:hAnsi="Tahoma" w:cs="Tahoma"/>
          <w:sz w:val="24"/>
          <w:szCs w:val="24"/>
        </w:rPr>
      </w:pPr>
    </w:p>
    <w:p w14:paraId="32A33003" w14:textId="33640BD7" w:rsidR="00463EA9" w:rsidRPr="00821380" w:rsidRDefault="00463EA9" w:rsidP="00C81AF4">
      <w:pPr>
        <w:pStyle w:val="a8"/>
        <w:numPr>
          <w:ilvl w:val="0"/>
          <w:numId w:val="9"/>
        </w:numPr>
        <w:tabs>
          <w:tab w:val="left" w:pos="1134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Рождество Христово (Лк. 2.1-7). Хронология событий, предшествовавших (Лк. 1.5-80) и сопровождавших его (Лк. 2.1-52). Проблемы датировки Рождества Христова (Мф. 2,1) и переписи (Лк. 2.1), связанные с событием Рождества Христова; доводы современной библеистики в пользу ошибочности вычисления года Рождества Христова Дионисием Малым в VI веке.</w:t>
      </w:r>
    </w:p>
    <w:p w14:paraId="16B07ADB" w14:textId="77777777" w:rsidR="0007575B" w:rsidRPr="00821380" w:rsidRDefault="0007575B" w:rsidP="0007575B">
      <w:pPr>
        <w:pStyle w:val="a8"/>
        <w:rPr>
          <w:rFonts w:ascii="Tahoma" w:hAnsi="Tahoma" w:cs="Tahoma"/>
          <w:sz w:val="24"/>
          <w:szCs w:val="24"/>
        </w:rPr>
      </w:pPr>
    </w:p>
    <w:p w14:paraId="7CC30DB6" w14:textId="1C744FE1" w:rsidR="00C81AF4" w:rsidRPr="00821380" w:rsidRDefault="00463EA9" w:rsidP="00C81AF4">
      <w:pPr>
        <w:pStyle w:val="a8"/>
        <w:numPr>
          <w:ilvl w:val="0"/>
          <w:numId w:val="9"/>
        </w:numPr>
        <w:tabs>
          <w:tab w:val="left" w:pos="1134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Крещение Господа Иисуса Христа. Проповедь Иоанна Крестителя и время его явления народу Израиля. (Мф. 3.1-12; Мк. 1.4-8; Лк. 3.1-18; Ин. 1.19-28). Обличение фарисеев, саддукеев, народа. Крещение как Святое Богоявление (Мф. 3.13-17; Мк. 1. 9-11; Лк. 3.21-22). Сравнительный анализ повествований об искушении Иисуса Христа в пустыне от диавола согласно Евангелиям от Матфея и от Луки (Мф. 4.1-11; Лк. 4.1-13). Мессианский аспект искушений.</w:t>
      </w:r>
    </w:p>
    <w:p w14:paraId="35291DD7" w14:textId="77777777" w:rsidR="0007575B" w:rsidRPr="00821380" w:rsidRDefault="0007575B" w:rsidP="0007575B">
      <w:pPr>
        <w:pStyle w:val="a8"/>
        <w:tabs>
          <w:tab w:val="left" w:pos="1134"/>
        </w:tabs>
        <w:ind w:left="851" w:firstLine="0"/>
        <w:rPr>
          <w:rFonts w:ascii="Tahoma" w:hAnsi="Tahoma" w:cs="Tahoma"/>
          <w:sz w:val="24"/>
          <w:szCs w:val="24"/>
        </w:rPr>
      </w:pPr>
    </w:p>
    <w:p w14:paraId="437DE354" w14:textId="5D000364" w:rsidR="00C81AF4" w:rsidRPr="00821380" w:rsidRDefault="00C81AF4" w:rsidP="00C81AF4">
      <w:pPr>
        <w:pStyle w:val="a8"/>
        <w:numPr>
          <w:ilvl w:val="0"/>
          <w:numId w:val="9"/>
        </w:numPr>
        <w:tabs>
          <w:tab w:val="left" w:pos="1134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Сотериологический аспект беседы Господа Иисуса Христа с Никодимом (Ин. 3.1-21) и самарянкой (Ин. 4.4-42): учение Спасителя о рождении свыше от воды и Духа (Ин. 3.3-8). Учение Иисуса Христа о любви Бога к миру (Ин. 3.13-21), об истинном поклонении Богу Отцу в духе и истине (Ин. 4. 20-26), притча о «побелевших нивах» (Ин. 4. 31-38).</w:t>
      </w:r>
    </w:p>
    <w:p w14:paraId="648EEAEB" w14:textId="77777777" w:rsidR="0007575B" w:rsidRPr="00821380" w:rsidRDefault="0007575B" w:rsidP="0007575B">
      <w:pPr>
        <w:pStyle w:val="a8"/>
        <w:tabs>
          <w:tab w:val="left" w:pos="1134"/>
        </w:tabs>
        <w:ind w:left="851" w:firstLine="0"/>
        <w:rPr>
          <w:rFonts w:ascii="Tahoma" w:hAnsi="Tahoma" w:cs="Tahoma"/>
          <w:sz w:val="24"/>
          <w:szCs w:val="24"/>
        </w:rPr>
      </w:pPr>
    </w:p>
    <w:p w14:paraId="2F125D07" w14:textId="6183A33D" w:rsidR="00463EA9" w:rsidRPr="00821380" w:rsidRDefault="00C81AF4" w:rsidP="00C81AF4">
      <w:pPr>
        <w:pStyle w:val="a8"/>
        <w:numPr>
          <w:ilvl w:val="0"/>
          <w:numId w:val="9"/>
        </w:numPr>
        <w:tabs>
          <w:tab w:val="left" w:pos="1134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Нагорная проповедь как учение о нравственных условиях стяжания Царства Небесного: заповеди Блаженства – путь духовного совершенствования (Мф. 5.1-16); отношение Иисуса Христа к Ветхому Закону (Мф. 5.17-48); учение Христа Спасителя об истинной праведности на примерах ее сравнения с праведностью фарисейскою (Мф. 6.1-18), предупреждение об опасности лжеисповедания (Мф. 7.13-29).</w:t>
      </w:r>
    </w:p>
    <w:p w14:paraId="121A4689" w14:textId="77777777" w:rsidR="0007575B" w:rsidRPr="00821380" w:rsidRDefault="0007575B" w:rsidP="0007575B">
      <w:pPr>
        <w:pStyle w:val="a8"/>
        <w:tabs>
          <w:tab w:val="left" w:pos="1134"/>
        </w:tabs>
        <w:ind w:left="851" w:firstLine="0"/>
        <w:rPr>
          <w:rFonts w:ascii="Tahoma" w:hAnsi="Tahoma" w:cs="Tahoma"/>
          <w:sz w:val="24"/>
          <w:szCs w:val="24"/>
        </w:rPr>
      </w:pPr>
    </w:p>
    <w:p w14:paraId="33135ECC" w14:textId="1510B46A" w:rsidR="00C81AF4" w:rsidRPr="00821380" w:rsidRDefault="00C81AF4" w:rsidP="00C81AF4">
      <w:pPr>
        <w:pStyle w:val="a8"/>
        <w:numPr>
          <w:ilvl w:val="0"/>
          <w:numId w:val="9"/>
        </w:numPr>
        <w:tabs>
          <w:tab w:val="left" w:pos="1134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Учение Иисуса Христа о Себе как о Хлебе Жизни: чудо насыщения пяти тысяч пятью хлебами (Мф. 14.13-21; Мк. 6.30-44; Лк. 9.10-17; Ин.6.1-13) и его символический смысл; евхаристический и христологический аспекты беседы о Хлебе Жизни (Ин. 6.25-71).</w:t>
      </w:r>
    </w:p>
    <w:p w14:paraId="3CE5F44A" w14:textId="77777777" w:rsidR="0007575B" w:rsidRPr="00821380" w:rsidRDefault="0007575B" w:rsidP="0007575B">
      <w:pPr>
        <w:pStyle w:val="a8"/>
        <w:tabs>
          <w:tab w:val="left" w:pos="1134"/>
        </w:tabs>
        <w:ind w:left="851" w:firstLine="0"/>
        <w:rPr>
          <w:rFonts w:ascii="Tahoma" w:hAnsi="Tahoma" w:cs="Tahoma"/>
          <w:sz w:val="24"/>
          <w:szCs w:val="24"/>
        </w:rPr>
      </w:pPr>
    </w:p>
    <w:p w14:paraId="72F2BA47" w14:textId="624B1CEC" w:rsidR="00C81AF4" w:rsidRPr="00821380" w:rsidRDefault="00C81AF4" w:rsidP="00C81AF4">
      <w:pPr>
        <w:pStyle w:val="a8"/>
        <w:numPr>
          <w:ilvl w:val="0"/>
          <w:numId w:val="9"/>
        </w:numPr>
        <w:tabs>
          <w:tab w:val="left" w:pos="1134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Евангельское откровение об Иисусе Христе: Сын Божий и Страждущий Мессия; исповедание апостола Петра (Мф. 16.13-20; Мк. 8.27-30; Лк. 9.18-21) – святоотеческое толкование слов «Ты Христос Сын Бога Живаго» (Мф. 16.16). Первое предсказание Христа о Своих страданиях (Мф. 16.21-23; Мк. 8.31-33; Лк. 9.22). Преображение Господне (Мф. 17.1-14; Мк. 9.2-13; Лк. 9.28-36), святоотеческие толкования эсхатологического аспекта Преображения.</w:t>
      </w:r>
    </w:p>
    <w:p w14:paraId="76A16345" w14:textId="77777777" w:rsidR="0007575B" w:rsidRPr="00821380" w:rsidRDefault="0007575B" w:rsidP="0007575B">
      <w:pPr>
        <w:pStyle w:val="a8"/>
        <w:tabs>
          <w:tab w:val="left" w:pos="1134"/>
        </w:tabs>
        <w:ind w:left="851" w:firstLine="0"/>
        <w:rPr>
          <w:rFonts w:ascii="Tahoma" w:hAnsi="Tahoma" w:cs="Tahoma"/>
          <w:sz w:val="24"/>
          <w:szCs w:val="24"/>
        </w:rPr>
      </w:pPr>
    </w:p>
    <w:p w14:paraId="7D00A08E" w14:textId="286A5098" w:rsidR="00C81AF4" w:rsidRPr="00821380" w:rsidRDefault="00C81AF4" w:rsidP="00C81AF4">
      <w:pPr>
        <w:pStyle w:val="a8"/>
        <w:numPr>
          <w:ilvl w:val="0"/>
          <w:numId w:val="9"/>
        </w:numPr>
        <w:tabs>
          <w:tab w:val="left" w:pos="1134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Учение Иисуса Христа о Своем Богосыновстве во время Его пребывания в Иерусалиме на праздниках Кущей и Обновления (Ин. 7-10): Христос – Свет миру (Ин. 8.12-20), толкование слов «Прежде нежели был Авраам, Я есмь» (Ин. 8.58), Беседа Спасителя с иудеями в притворе Соломоновом (Ин. 10.23-42).</w:t>
      </w:r>
    </w:p>
    <w:p w14:paraId="1C1C6A44" w14:textId="254C6366" w:rsidR="00C81AF4" w:rsidRPr="00821380" w:rsidRDefault="00C81AF4" w:rsidP="00C81AF4">
      <w:pPr>
        <w:pStyle w:val="a8"/>
        <w:numPr>
          <w:ilvl w:val="0"/>
          <w:numId w:val="9"/>
        </w:numPr>
        <w:tabs>
          <w:tab w:val="left" w:pos="1134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lastRenderedPageBreak/>
        <w:t>Хронология важнейших событий Страстной Седмицы. Символический смысл очищения Храма (Мф. 21.12-17; Мк. 11.15-19; Лк. 19.45-48; ср. Ин. 2.13-22); обличительная речь против фарисеев (Мф. 23,1-36; Мк. 12.38-40; Лк. 20.45-47); заговор иудеев и предательство Иуды (Мф. 26.1-5,14-16; Мк. 14.1-2.10-11; Лк. 22.1-6); Тайная вечеря (Мф. 26.17-29; Мк. 14.12-25; Лк. 22.7-24; Ин. 13.1-20).</w:t>
      </w:r>
    </w:p>
    <w:p w14:paraId="7E8E12B2" w14:textId="77777777" w:rsidR="0007575B" w:rsidRPr="00821380" w:rsidRDefault="0007575B" w:rsidP="0007575B">
      <w:pPr>
        <w:pStyle w:val="a8"/>
        <w:tabs>
          <w:tab w:val="left" w:pos="1134"/>
        </w:tabs>
        <w:ind w:left="851" w:firstLine="0"/>
        <w:rPr>
          <w:rFonts w:ascii="Tahoma" w:hAnsi="Tahoma" w:cs="Tahoma"/>
          <w:sz w:val="24"/>
          <w:szCs w:val="24"/>
        </w:rPr>
      </w:pPr>
    </w:p>
    <w:p w14:paraId="092574DE" w14:textId="2B704448" w:rsidR="00C81AF4" w:rsidRPr="00821380" w:rsidRDefault="00C81AF4" w:rsidP="00C81AF4">
      <w:pPr>
        <w:pStyle w:val="a8"/>
        <w:numPr>
          <w:ilvl w:val="0"/>
          <w:numId w:val="9"/>
        </w:numPr>
        <w:tabs>
          <w:tab w:val="left" w:pos="1134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Согласование хронологии важнейших событий Страстной Седмицы синоптических повествований с Евангелием от Иоанна в вопросе хронологии; экклезиологический аспект Прощальной беседы Иисуса Христа с учениками (Ин. 13.31-16.33); Крестные страдания и смерть Иисуса Христа (Мф. 27.27-55; Мк. 15.16-41; Лк.23.26-56; Ин. 19.17-37).</w:t>
      </w:r>
    </w:p>
    <w:p w14:paraId="2A55515A" w14:textId="77777777" w:rsidR="0007575B" w:rsidRPr="00821380" w:rsidRDefault="0007575B" w:rsidP="0007575B">
      <w:pPr>
        <w:pStyle w:val="a8"/>
        <w:rPr>
          <w:rFonts w:ascii="Tahoma" w:hAnsi="Tahoma" w:cs="Tahoma"/>
          <w:sz w:val="24"/>
          <w:szCs w:val="24"/>
        </w:rPr>
      </w:pPr>
    </w:p>
    <w:p w14:paraId="7D012B08" w14:textId="03E269EB" w:rsidR="00C81AF4" w:rsidRPr="00821380" w:rsidRDefault="00C81AF4" w:rsidP="00C81AF4">
      <w:pPr>
        <w:pStyle w:val="a8"/>
        <w:numPr>
          <w:ilvl w:val="0"/>
          <w:numId w:val="9"/>
        </w:numPr>
        <w:tabs>
          <w:tab w:val="left" w:pos="1134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Евангельское повествование о Воскресении Иисуса Христа как свидетельство Его победы над смертью (Мф. 28.1-10; Мк. 16.1-8; Лк. 24.1-11; Ин. 20.1-10). Проблема хронологической последовательности явлений Воскресшего Господа, описываемых разными Евангелистами (Мф. 28.9-10; 16-20; Мк. 16.9-20; Лк. 24.13-35; 35-53; Ин. 20.11-18; 19-29; 21.1-14; 15-23).</w:t>
      </w:r>
    </w:p>
    <w:p w14:paraId="2005FD1E" w14:textId="77777777" w:rsidR="0007575B" w:rsidRPr="00821380" w:rsidRDefault="0007575B" w:rsidP="0007575B">
      <w:pPr>
        <w:pStyle w:val="a8"/>
        <w:tabs>
          <w:tab w:val="left" w:pos="1134"/>
        </w:tabs>
        <w:ind w:left="851" w:firstLine="0"/>
        <w:rPr>
          <w:rFonts w:ascii="Tahoma" w:hAnsi="Tahoma" w:cs="Tahoma"/>
          <w:sz w:val="24"/>
          <w:szCs w:val="24"/>
        </w:rPr>
      </w:pPr>
    </w:p>
    <w:p w14:paraId="3E02F0AF" w14:textId="20CC29D6" w:rsidR="00463EA9" w:rsidRPr="00821380" w:rsidRDefault="00C81AF4" w:rsidP="00C81AF4">
      <w:pPr>
        <w:pStyle w:val="a8"/>
        <w:numPr>
          <w:ilvl w:val="0"/>
          <w:numId w:val="9"/>
        </w:numPr>
        <w:tabs>
          <w:tab w:val="left" w:pos="1134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Вознесение Христово (Деян. 1.9). Сопоставительный анализ повествования в Евангелиях и книге Деяний (Деян. 1.9; Лк. 24.50-51).</w:t>
      </w:r>
    </w:p>
    <w:p w14:paraId="536DCA96" w14:textId="77777777" w:rsidR="0007575B" w:rsidRPr="00821380" w:rsidRDefault="0007575B" w:rsidP="0007575B">
      <w:pPr>
        <w:pStyle w:val="a8"/>
        <w:tabs>
          <w:tab w:val="left" w:pos="1134"/>
        </w:tabs>
        <w:ind w:left="851" w:firstLine="0"/>
        <w:rPr>
          <w:rFonts w:ascii="Tahoma" w:hAnsi="Tahoma" w:cs="Tahoma"/>
          <w:sz w:val="24"/>
          <w:szCs w:val="24"/>
        </w:rPr>
      </w:pPr>
    </w:p>
    <w:p w14:paraId="63F74F3A" w14:textId="05D011FD" w:rsidR="0007575B" w:rsidRDefault="00C81AF4" w:rsidP="00C81AF4">
      <w:pPr>
        <w:pStyle w:val="a8"/>
        <w:numPr>
          <w:ilvl w:val="0"/>
          <w:numId w:val="9"/>
        </w:numPr>
        <w:tabs>
          <w:tab w:val="left" w:pos="1134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Общие сведения о книге Деяний. Личность автора. Лука в отношении к прочим апостолам. Церковное предание о месте рождения, национальности и занятиях Луки. Единство Предания относительно авторства Луки и его связь с проповедью апостола Павла. Хронология книги Деяний. Композиция книги Деяний. Основные богословские темы книги Деяний. Обзор содержания.</w:t>
      </w:r>
    </w:p>
    <w:p w14:paraId="1A4ED3FB" w14:textId="77777777" w:rsidR="00821380" w:rsidRPr="00821380" w:rsidRDefault="00821380" w:rsidP="00821380">
      <w:pPr>
        <w:pStyle w:val="a8"/>
        <w:tabs>
          <w:tab w:val="left" w:pos="1134"/>
        </w:tabs>
        <w:ind w:left="851" w:firstLine="0"/>
        <w:rPr>
          <w:rFonts w:ascii="Tahoma" w:hAnsi="Tahoma" w:cs="Tahoma"/>
          <w:sz w:val="24"/>
          <w:szCs w:val="24"/>
        </w:rPr>
      </w:pPr>
    </w:p>
    <w:p w14:paraId="299C3BCA" w14:textId="21A759C9" w:rsidR="00C81AF4" w:rsidRPr="00821380" w:rsidRDefault="00C81AF4" w:rsidP="00C81AF4">
      <w:pPr>
        <w:pStyle w:val="a8"/>
        <w:numPr>
          <w:ilvl w:val="0"/>
          <w:numId w:val="9"/>
        </w:numPr>
        <w:tabs>
          <w:tab w:val="left" w:pos="1134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Послание апостола Иакова. Личность апостола Иакова. Литературные образы и их употребление в послании. Книга Экклесиаст в послании св. апостола Иакова. Учение апостола Иакова об отношении к богатству (три аспекта) (1.9–11; 2.1–9; 5.1–6). Сопоставительный анализ учения апостола Иакова и апостола Павла о вере и делах.</w:t>
      </w:r>
    </w:p>
    <w:p w14:paraId="2C2C3535" w14:textId="77777777" w:rsidR="0007575B" w:rsidRPr="00821380" w:rsidRDefault="0007575B" w:rsidP="0007575B">
      <w:pPr>
        <w:pStyle w:val="a8"/>
        <w:tabs>
          <w:tab w:val="left" w:pos="1134"/>
        </w:tabs>
        <w:ind w:left="851" w:firstLine="0"/>
        <w:rPr>
          <w:rFonts w:ascii="Tahoma" w:hAnsi="Tahoma" w:cs="Tahoma"/>
          <w:sz w:val="24"/>
          <w:szCs w:val="24"/>
        </w:rPr>
      </w:pPr>
    </w:p>
    <w:p w14:paraId="410D49D8" w14:textId="37020D25" w:rsidR="00C81AF4" w:rsidRPr="00821380" w:rsidRDefault="00C81AF4" w:rsidP="00C81AF4">
      <w:pPr>
        <w:pStyle w:val="a8"/>
        <w:numPr>
          <w:ilvl w:val="0"/>
          <w:numId w:val="9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Первое послание апостола Петра. Личность апостола Петра. Богословие мученичества (2.19–25; 3.13–22; 4.1–2, 12–19; 5.8–9). Предвечный совет о спасении людей (1 Петр. 1.18-20). Догмат о сошествии Христа во ад (3.18–20; 4.6). Наставление пастырям (5.1–5). Наставление супругам (3.1–7). Отношение к светской власти (2.11–18). Второе послание апостола Петра. Эсхатология (3.3–13). Сопоставительный анализ второго послания апостола Петра и послания апостола Иуды. Описание евангельских событий в послании. Автобиографические сведения (1.13–15). Отношение св. апостола Петра к св. апостолу Павлу.</w:t>
      </w:r>
    </w:p>
    <w:p w14:paraId="0F1F8E31" w14:textId="77777777" w:rsidR="0007575B" w:rsidRPr="00821380" w:rsidRDefault="0007575B" w:rsidP="0007575B">
      <w:pPr>
        <w:pStyle w:val="a8"/>
        <w:rPr>
          <w:rFonts w:ascii="Tahoma" w:hAnsi="Tahoma" w:cs="Tahoma"/>
          <w:sz w:val="24"/>
          <w:szCs w:val="24"/>
        </w:rPr>
      </w:pPr>
    </w:p>
    <w:p w14:paraId="51582FFB" w14:textId="31F530B0" w:rsidR="00754197" w:rsidRPr="00821380" w:rsidRDefault="00754197" w:rsidP="00C81AF4">
      <w:pPr>
        <w:pStyle w:val="a8"/>
        <w:numPr>
          <w:ilvl w:val="0"/>
          <w:numId w:val="9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Первое послание апостола и евангелиста Иоанна Богослова. Личность апостола Иоанна Богослова. Четвертое Евангелие и послание апостола Иоанна (терминологический и идейный анализ). Учение о Святой Троице и богословие любви (2.9–11; 3.1,10–18, 23–24; 4.7–21; 5.2–3.1,1–3; 2.21-25; 5.5–13, 20). Проблема интерполяций в послании св. апостола Иоанна (5.7).</w:t>
      </w:r>
    </w:p>
    <w:p w14:paraId="2659AB21" w14:textId="77777777" w:rsidR="0007575B" w:rsidRPr="00821380" w:rsidRDefault="0007575B" w:rsidP="0007575B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008F7996" w14:textId="77777777" w:rsidR="00B028D6" w:rsidRDefault="00B028D6" w:rsidP="00B028D6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1B3824FE" w14:textId="77777777" w:rsidR="00B028D6" w:rsidRPr="00B028D6" w:rsidRDefault="00B028D6" w:rsidP="00B028D6">
      <w:pPr>
        <w:pStyle w:val="a8"/>
        <w:rPr>
          <w:rFonts w:ascii="Tahoma" w:hAnsi="Tahoma" w:cs="Tahoma"/>
          <w:sz w:val="24"/>
          <w:szCs w:val="24"/>
        </w:rPr>
      </w:pPr>
    </w:p>
    <w:p w14:paraId="417EE03C" w14:textId="6E8B31AC" w:rsidR="00463EA9" w:rsidRPr="00821380" w:rsidRDefault="00754197" w:rsidP="00754197">
      <w:pPr>
        <w:pStyle w:val="a8"/>
        <w:numPr>
          <w:ilvl w:val="0"/>
          <w:numId w:val="9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lastRenderedPageBreak/>
        <w:t>Сотериология послания к Римлянам: искупление, оправдание, примирение, усыновление человека Богу Отцу через Сына во Святом Духе (Рим. 3-8). Святоотеческие толкования Рим. 5.12. Взаимосвязь практических наставлений св. апостола Павла с его богословским учением на примере послания к Римлянам: судьба Израиля и язычников в домостроительстве спасения (Рим. 9-11); вопрос об отношении к властям (Рим. 13.1-7); проблема «немощных в вере» (Рим. 13.7-5).</w:t>
      </w:r>
    </w:p>
    <w:p w14:paraId="73FF3726" w14:textId="77777777" w:rsidR="0007575B" w:rsidRPr="00821380" w:rsidRDefault="0007575B" w:rsidP="0007575B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130A5A14" w14:textId="2AC24937" w:rsidR="00463EA9" w:rsidRPr="00821380" w:rsidRDefault="00754197" w:rsidP="00463EA9">
      <w:pPr>
        <w:pStyle w:val="a8"/>
        <w:numPr>
          <w:ilvl w:val="0"/>
          <w:numId w:val="9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Послания апостола Павла к Коринфянам: обзор содержания. Нравственная проблема коринфской общины (1 Кор. 5; 6.9-7); суды между христианами (1 Кор. 6.1-8); проблема идоложертвенных яств (1 Кор. 8.1-27; 10.19-33). Основные принципы христианской свободы вечеря Господня и проблема поведения на богослужебном собрании (1 Кор. 10.1-21; 11.1-34); духовные дарования в едином теле Церкви (1 Кор. 12-14). Взаимоотношения св. ап. Павла и общины христиан Коринфа: Христианская община Коринфа и скорби апостола Павла (2 Кор. 1-2); различия в служениях Ветхого и Нового Заветов (в контексте действий иудействующих; 2 Кор. 3.1-4.4); суть апостольского служения (2 Кор. 4.5- 7.16); автоапология св. ап. Павла (2 Кор. 10-12).</w:t>
      </w:r>
    </w:p>
    <w:p w14:paraId="7A7F94E0" w14:textId="77777777" w:rsidR="0007575B" w:rsidRPr="00821380" w:rsidRDefault="0007575B" w:rsidP="0007575B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6270758B" w14:textId="0B7F43AC" w:rsidR="00463EA9" w:rsidRPr="00821380" w:rsidRDefault="00754197" w:rsidP="00463EA9">
      <w:pPr>
        <w:pStyle w:val="a8"/>
        <w:numPr>
          <w:ilvl w:val="0"/>
          <w:numId w:val="9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Проблема закона и оправдания верой на примере послания к Галатам: автоапология апостола Павла (Гал. 1.6-2.21); закон и обетование в домостроительстве спасения (Гал. 3.1-25); вопрос соотношения между христианской свободой и нравственностью (Гал. 3.26-6).</w:t>
      </w:r>
    </w:p>
    <w:p w14:paraId="2C53DF59" w14:textId="77777777" w:rsidR="0007575B" w:rsidRPr="00821380" w:rsidRDefault="0007575B" w:rsidP="0007575B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346F63D5" w14:textId="755456B6" w:rsidR="00463EA9" w:rsidRPr="00821380" w:rsidRDefault="00064373" w:rsidP="00463EA9">
      <w:pPr>
        <w:pStyle w:val="a8"/>
        <w:numPr>
          <w:ilvl w:val="0"/>
          <w:numId w:val="9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Соотношение христологии и экклезиологии Нового Завета на примере послания к Ефесянам: Христос как Спаситель верных и Глава Церкви; Церковь как Тело, Невеста Христова и семья Божия; взаимоотношения Христа и Церкви как парадигма христианского брака.</w:t>
      </w:r>
    </w:p>
    <w:p w14:paraId="3F8F6886" w14:textId="77777777" w:rsidR="0007575B" w:rsidRPr="00821380" w:rsidRDefault="0007575B" w:rsidP="0007575B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1EC9ABA6" w14:textId="7BA9AAFA" w:rsidR="00463EA9" w:rsidRPr="00821380" w:rsidRDefault="00064373" w:rsidP="00463EA9">
      <w:pPr>
        <w:pStyle w:val="a8"/>
        <w:numPr>
          <w:ilvl w:val="0"/>
          <w:numId w:val="9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Взаимосвязь богословия и этики Нового Завета на примере послания к Филиппийцам: призыв к терпеливому перенесению страданий (Флп. 1.12-30); христологический гимн как его иллюстрация (Флп. 2.1-3.1); толкование гимна и его литургическое употребление; противопоставление «праведности по закону» и «праведности по вере» в контексте цели христианской жизни (преображение со Христом) (Флп. 3.2-3.21).</w:t>
      </w:r>
    </w:p>
    <w:p w14:paraId="371131E8" w14:textId="77777777" w:rsidR="0007575B" w:rsidRPr="00821380" w:rsidRDefault="0007575B" w:rsidP="0007575B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0339CEDE" w14:textId="4D218934" w:rsidR="00064373" w:rsidRPr="00821380" w:rsidRDefault="00064373" w:rsidP="00064373">
      <w:pPr>
        <w:pStyle w:val="a8"/>
        <w:numPr>
          <w:ilvl w:val="0"/>
          <w:numId w:val="9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Христологический гимн в послании к Колоссянам (Кол. 1.15-20) в контексте осуждения ложных представлений о Христе (т.н. «Колосская ересь» (Кол. 2)) и нравственных наставлений (т.н. «Домашний кодекс» (Кол. 3 – 4)).</w:t>
      </w:r>
    </w:p>
    <w:p w14:paraId="1A996A68" w14:textId="77777777" w:rsidR="0007575B" w:rsidRPr="00821380" w:rsidRDefault="0007575B" w:rsidP="0007575B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3C963614" w14:textId="1951EEAD" w:rsidR="0007575B" w:rsidRPr="00821380" w:rsidRDefault="00064373" w:rsidP="0007575B">
      <w:pPr>
        <w:pStyle w:val="a8"/>
        <w:numPr>
          <w:ilvl w:val="0"/>
          <w:numId w:val="9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Идеал христианского пастыря согласно Пастырским посланиям: качества (1 Тим. 3.1-7, 2 Тим. 1.13-14; 2 Тим. 3.14; 1, 2 Тим. 2.1-3; Тит. 1.5-9) и задачи священника (1 Тим. 4.13; 2 Тим. 2.22-26; 2 Тим. 4.2-5; 2 Тим. 2.15; Тит. 1.13-14, 2.1-10, 2.15-3.2) и диакона (1 Тим.3.8-13), их общие черты с требованиями для епископов (пресвитеров). Проблема соотнесения иерархических степеней у ап. Павла с современной терминологией. Об обвинениях на священнослужителей (1 Тим. 5.19) и проверке кандидатов на рукоположение (1 Тим. 5.22).</w:t>
      </w:r>
    </w:p>
    <w:p w14:paraId="655658B6" w14:textId="77777777" w:rsidR="0007575B" w:rsidRPr="00821380" w:rsidRDefault="0007575B" w:rsidP="0007575B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0C82C80B" w14:textId="4939E511" w:rsidR="00B028D6" w:rsidRDefault="00B028D6" w:rsidP="00B028D6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4D15966A" w14:textId="77777777" w:rsidR="00B028D6" w:rsidRDefault="00B028D6" w:rsidP="00B028D6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0B5BF2A9" w14:textId="549C5557" w:rsidR="00463EA9" w:rsidRPr="00821380" w:rsidRDefault="00463EA9" w:rsidP="00463EA9">
      <w:pPr>
        <w:pStyle w:val="a8"/>
        <w:numPr>
          <w:ilvl w:val="0"/>
          <w:numId w:val="9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lastRenderedPageBreak/>
        <w:t>Проблема авторства послания к Евреям и его происхождения. Мнения древнецерковных писателей и современных исследователей. Превосходство Откровения во Христе согласно посланию св. апостола Павла к Евреям: Христос как носитель полноты Божественного Откровения, Творец мира и самих ангелов (Евр.1-2); превосходство Христа над Моисеем (Евр. 3.1-6). Особенности герменевтики послания к Евреям. Священство Христа и Аарона (Евр. 4.14-7.28). Превосходство жертвы Христовой над левитскими жертвоприношениями (8.1-10.18); небесная скиния.</w:t>
      </w:r>
    </w:p>
    <w:p w14:paraId="39C24A97" w14:textId="77777777" w:rsidR="0007575B" w:rsidRPr="00821380" w:rsidRDefault="0007575B" w:rsidP="0007575B">
      <w:pPr>
        <w:pStyle w:val="a8"/>
        <w:tabs>
          <w:tab w:val="left" w:pos="1276"/>
        </w:tabs>
        <w:ind w:left="851" w:firstLine="0"/>
        <w:rPr>
          <w:rFonts w:ascii="Tahoma" w:hAnsi="Tahoma" w:cs="Tahoma"/>
          <w:sz w:val="24"/>
          <w:szCs w:val="24"/>
        </w:rPr>
      </w:pPr>
    </w:p>
    <w:p w14:paraId="04B2DDFB" w14:textId="6DB46861" w:rsidR="00463EA9" w:rsidRPr="00821380" w:rsidRDefault="00463EA9" w:rsidP="00463EA9">
      <w:pPr>
        <w:pStyle w:val="a8"/>
        <w:numPr>
          <w:ilvl w:val="0"/>
          <w:numId w:val="9"/>
        </w:numPr>
        <w:tabs>
          <w:tab w:val="left" w:pos="1276"/>
        </w:tabs>
        <w:ind w:left="0" w:firstLine="851"/>
        <w:rPr>
          <w:rFonts w:ascii="Tahoma" w:hAnsi="Tahoma" w:cs="Tahoma"/>
          <w:sz w:val="24"/>
          <w:szCs w:val="24"/>
        </w:rPr>
      </w:pPr>
      <w:r w:rsidRPr="00821380">
        <w:rPr>
          <w:rFonts w:ascii="Tahoma" w:hAnsi="Tahoma" w:cs="Tahoma"/>
          <w:sz w:val="24"/>
          <w:szCs w:val="24"/>
        </w:rPr>
        <w:t>Исторический фон написания Откровения св. ап. Иоанна Богослова. Изменение положения Церкви в сравнении с ранним апостольским веком. Усиление культа императорской власти. Гонения Домициана. Место написания Апокалипсиса. Возможные датировки Апокалипсиса. Христос Спаситель как центральная фигура Апокалипсиса. Варианты герменевтических подходов: исторический, символический, профетический. Числовая символика Апокалипсиса, ее значение для правильной экзегезы текста. Обзор содержания.</w:t>
      </w:r>
    </w:p>
    <w:p w14:paraId="769745B9" w14:textId="0E622DD0" w:rsidR="0007575B" w:rsidRDefault="0007575B" w:rsidP="0007575B">
      <w:pPr>
        <w:pStyle w:val="a8"/>
        <w:rPr>
          <w:rFonts w:ascii="Tahoma" w:hAnsi="Tahoma" w:cs="Tahoma"/>
          <w:sz w:val="24"/>
          <w:szCs w:val="24"/>
        </w:rPr>
      </w:pPr>
    </w:p>
    <w:p w14:paraId="6784448D" w14:textId="5846B3B5" w:rsidR="00EC6EAF" w:rsidRDefault="00EC6EAF" w:rsidP="0007575B">
      <w:pPr>
        <w:pStyle w:val="a8"/>
        <w:rPr>
          <w:rFonts w:ascii="Tahoma" w:hAnsi="Tahoma" w:cs="Tahoma"/>
          <w:sz w:val="24"/>
          <w:szCs w:val="24"/>
        </w:rPr>
      </w:pPr>
    </w:p>
    <w:p w14:paraId="2B690278" w14:textId="769075A8" w:rsidR="00EC6EAF" w:rsidRDefault="00EC6EAF" w:rsidP="0007575B">
      <w:pPr>
        <w:pStyle w:val="a8"/>
        <w:rPr>
          <w:rFonts w:ascii="Tahoma" w:hAnsi="Tahoma" w:cs="Tahoma"/>
          <w:sz w:val="24"/>
          <w:szCs w:val="24"/>
        </w:rPr>
      </w:pPr>
    </w:p>
    <w:p w14:paraId="1EFE937D" w14:textId="276CD3CA" w:rsidR="00EC6EAF" w:rsidRDefault="00EC6EAF" w:rsidP="0007575B">
      <w:pPr>
        <w:pStyle w:val="a8"/>
        <w:rPr>
          <w:rFonts w:ascii="Tahoma" w:hAnsi="Tahoma" w:cs="Tahoma"/>
          <w:sz w:val="24"/>
          <w:szCs w:val="24"/>
        </w:rPr>
      </w:pPr>
    </w:p>
    <w:p w14:paraId="1505BAC3" w14:textId="17DA7E2B" w:rsidR="00EC6EAF" w:rsidRDefault="00EC6EAF" w:rsidP="0007575B">
      <w:pPr>
        <w:pStyle w:val="a8"/>
        <w:rPr>
          <w:rFonts w:ascii="Tahoma" w:hAnsi="Tahoma" w:cs="Tahoma"/>
          <w:sz w:val="24"/>
          <w:szCs w:val="24"/>
        </w:rPr>
      </w:pPr>
    </w:p>
    <w:p w14:paraId="3426FB5B" w14:textId="5685B3B0" w:rsidR="00EC6EAF" w:rsidRDefault="00EC6EAF" w:rsidP="0007575B">
      <w:pPr>
        <w:pStyle w:val="a8"/>
        <w:rPr>
          <w:rFonts w:ascii="Tahoma" w:hAnsi="Tahoma" w:cs="Tahoma"/>
          <w:sz w:val="24"/>
          <w:szCs w:val="24"/>
        </w:rPr>
      </w:pPr>
    </w:p>
    <w:p w14:paraId="624B5AC6" w14:textId="7FE65716" w:rsidR="00EC6EAF" w:rsidRDefault="00EC6EAF" w:rsidP="0007575B">
      <w:pPr>
        <w:pStyle w:val="a8"/>
        <w:rPr>
          <w:rFonts w:ascii="Tahoma" w:hAnsi="Tahoma" w:cs="Tahoma"/>
          <w:sz w:val="24"/>
          <w:szCs w:val="24"/>
        </w:rPr>
      </w:pPr>
    </w:p>
    <w:p w14:paraId="42A7DC2E" w14:textId="3CB6ADD9" w:rsidR="00EC6EAF" w:rsidRDefault="00EC6EAF" w:rsidP="0007575B">
      <w:pPr>
        <w:pStyle w:val="a8"/>
        <w:rPr>
          <w:rFonts w:ascii="Tahoma" w:hAnsi="Tahoma" w:cs="Tahoma"/>
          <w:sz w:val="24"/>
          <w:szCs w:val="24"/>
        </w:rPr>
      </w:pPr>
    </w:p>
    <w:p w14:paraId="47382F34" w14:textId="5177C1C5" w:rsidR="00EC6EAF" w:rsidRDefault="00EC6EAF" w:rsidP="0007575B">
      <w:pPr>
        <w:pStyle w:val="a8"/>
        <w:rPr>
          <w:rFonts w:ascii="Tahoma" w:hAnsi="Tahoma" w:cs="Tahoma"/>
          <w:sz w:val="24"/>
          <w:szCs w:val="24"/>
        </w:rPr>
      </w:pPr>
    </w:p>
    <w:p w14:paraId="7A518146" w14:textId="23D94B0D" w:rsidR="00EC6EAF" w:rsidRDefault="00EC6EAF" w:rsidP="0007575B">
      <w:pPr>
        <w:pStyle w:val="a8"/>
        <w:rPr>
          <w:rFonts w:ascii="Tahoma" w:hAnsi="Tahoma" w:cs="Tahoma"/>
          <w:sz w:val="24"/>
          <w:szCs w:val="24"/>
        </w:rPr>
      </w:pPr>
    </w:p>
    <w:p w14:paraId="6220E57F" w14:textId="231126AF" w:rsidR="00EC6EAF" w:rsidRDefault="00EC6EAF" w:rsidP="0007575B">
      <w:pPr>
        <w:pStyle w:val="a8"/>
        <w:rPr>
          <w:rFonts w:ascii="Tahoma" w:hAnsi="Tahoma" w:cs="Tahoma"/>
          <w:sz w:val="24"/>
          <w:szCs w:val="24"/>
        </w:rPr>
      </w:pPr>
    </w:p>
    <w:p w14:paraId="6405D07A" w14:textId="4E1BCE68" w:rsidR="00EC6EAF" w:rsidRDefault="00EC6EAF" w:rsidP="0007575B">
      <w:pPr>
        <w:pStyle w:val="a8"/>
        <w:rPr>
          <w:rFonts w:ascii="Tahoma" w:hAnsi="Tahoma" w:cs="Tahoma"/>
          <w:sz w:val="24"/>
          <w:szCs w:val="24"/>
        </w:rPr>
      </w:pPr>
    </w:p>
    <w:p w14:paraId="1BCA4FD0" w14:textId="3B64A4D9" w:rsidR="00EC6EAF" w:rsidRDefault="00EC6EAF" w:rsidP="0007575B">
      <w:pPr>
        <w:pStyle w:val="a8"/>
        <w:rPr>
          <w:rFonts w:ascii="Tahoma" w:hAnsi="Tahoma" w:cs="Tahoma"/>
          <w:sz w:val="24"/>
          <w:szCs w:val="24"/>
        </w:rPr>
      </w:pPr>
    </w:p>
    <w:p w14:paraId="1F14DAD9" w14:textId="7E1C6B47" w:rsidR="00EC6EAF" w:rsidRDefault="00EC6EAF" w:rsidP="0007575B">
      <w:pPr>
        <w:pStyle w:val="a8"/>
        <w:rPr>
          <w:rFonts w:ascii="Tahoma" w:hAnsi="Tahoma" w:cs="Tahoma"/>
          <w:sz w:val="24"/>
          <w:szCs w:val="24"/>
        </w:rPr>
      </w:pPr>
    </w:p>
    <w:p w14:paraId="234C88B1" w14:textId="4A24B88E" w:rsidR="00EC6EAF" w:rsidRDefault="00EC6EAF" w:rsidP="0007575B">
      <w:pPr>
        <w:pStyle w:val="a8"/>
        <w:rPr>
          <w:rFonts w:ascii="Tahoma" w:hAnsi="Tahoma" w:cs="Tahoma"/>
          <w:sz w:val="24"/>
          <w:szCs w:val="24"/>
        </w:rPr>
      </w:pPr>
    </w:p>
    <w:p w14:paraId="7DC8F9A5" w14:textId="221E3BE2" w:rsidR="00EC6EAF" w:rsidRDefault="00EC6EAF" w:rsidP="0007575B">
      <w:pPr>
        <w:pStyle w:val="a8"/>
        <w:rPr>
          <w:rFonts w:ascii="Tahoma" w:hAnsi="Tahoma" w:cs="Tahoma"/>
          <w:sz w:val="24"/>
          <w:szCs w:val="24"/>
        </w:rPr>
      </w:pPr>
    </w:p>
    <w:p w14:paraId="7CEC1A33" w14:textId="08B61336" w:rsidR="00EC6EAF" w:rsidRDefault="00EC6EAF" w:rsidP="0007575B">
      <w:pPr>
        <w:pStyle w:val="a8"/>
        <w:rPr>
          <w:rFonts w:ascii="Tahoma" w:hAnsi="Tahoma" w:cs="Tahoma"/>
          <w:sz w:val="24"/>
          <w:szCs w:val="24"/>
        </w:rPr>
      </w:pPr>
    </w:p>
    <w:p w14:paraId="4C0BBBAF" w14:textId="792C03D5" w:rsidR="00EC6EAF" w:rsidRDefault="00EC6EAF" w:rsidP="0007575B">
      <w:pPr>
        <w:pStyle w:val="a8"/>
        <w:rPr>
          <w:rFonts w:ascii="Tahoma" w:hAnsi="Tahoma" w:cs="Tahoma"/>
          <w:sz w:val="24"/>
          <w:szCs w:val="24"/>
        </w:rPr>
      </w:pPr>
    </w:p>
    <w:p w14:paraId="289C0BB9" w14:textId="1F7C8EFE" w:rsidR="00EC6EAF" w:rsidRDefault="00EC6EAF" w:rsidP="0007575B">
      <w:pPr>
        <w:pStyle w:val="a8"/>
        <w:rPr>
          <w:rFonts w:ascii="Tahoma" w:hAnsi="Tahoma" w:cs="Tahoma"/>
          <w:sz w:val="24"/>
          <w:szCs w:val="24"/>
        </w:rPr>
      </w:pPr>
    </w:p>
    <w:p w14:paraId="08865DCD" w14:textId="25C92571" w:rsidR="00EC6EAF" w:rsidRDefault="00EC6EAF" w:rsidP="0007575B">
      <w:pPr>
        <w:pStyle w:val="a8"/>
        <w:rPr>
          <w:rFonts w:ascii="Tahoma" w:hAnsi="Tahoma" w:cs="Tahoma"/>
          <w:sz w:val="24"/>
          <w:szCs w:val="24"/>
        </w:rPr>
      </w:pPr>
    </w:p>
    <w:p w14:paraId="30AE1AB9" w14:textId="2243E74D" w:rsidR="00EC6EAF" w:rsidRDefault="00EC6EAF" w:rsidP="0007575B">
      <w:pPr>
        <w:pStyle w:val="a8"/>
        <w:rPr>
          <w:rFonts w:ascii="Tahoma" w:hAnsi="Tahoma" w:cs="Tahoma"/>
          <w:sz w:val="24"/>
          <w:szCs w:val="24"/>
        </w:rPr>
      </w:pPr>
    </w:p>
    <w:p w14:paraId="220D4260" w14:textId="71B828B3" w:rsidR="00EC6EAF" w:rsidRDefault="00EC6EAF" w:rsidP="0007575B">
      <w:pPr>
        <w:pStyle w:val="a8"/>
        <w:rPr>
          <w:rFonts w:ascii="Tahoma" w:hAnsi="Tahoma" w:cs="Tahoma"/>
          <w:sz w:val="24"/>
          <w:szCs w:val="24"/>
        </w:rPr>
      </w:pPr>
    </w:p>
    <w:p w14:paraId="40FE5456" w14:textId="77F64413" w:rsidR="00EC6EAF" w:rsidRDefault="00EC6EAF" w:rsidP="0007575B">
      <w:pPr>
        <w:pStyle w:val="a8"/>
        <w:rPr>
          <w:rFonts w:ascii="Tahoma" w:hAnsi="Tahoma" w:cs="Tahoma"/>
          <w:sz w:val="24"/>
          <w:szCs w:val="24"/>
        </w:rPr>
      </w:pPr>
    </w:p>
    <w:p w14:paraId="3D9E8F21" w14:textId="06E5B324" w:rsidR="00EC6EAF" w:rsidRDefault="00EC6EAF" w:rsidP="0007575B">
      <w:pPr>
        <w:pStyle w:val="a8"/>
        <w:rPr>
          <w:rFonts w:ascii="Tahoma" w:hAnsi="Tahoma" w:cs="Tahoma"/>
          <w:sz w:val="24"/>
          <w:szCs w:val="24"/>
        </w:rPr>
      </w:pPr>
    </w:p>
    <w:p w14:paraId="351630DD" w14:textId="2F5D5E63" w:rsidR="00EC6EAF" w:rsidRDefault="00EC6EAF" w:rsidP="0007575B">
      <w:pPr>
        <w:pStyle w:val="a8"/>
        <w:rPr>
          <w:rFonts w:ascii="Tahoma" w:hAnsi="Tahoma" w:cs="Tahoma"/>
          <w:sz w:val="24"/>
          <w:szCs w:val="24"/>
        </w:rPr>
      </w:pPr>
    </w:p>
    <w:p w14:paraId="2BFAB61C" w14:textId="4C292836" w:rsidR="00EC6EAF" w:rsidRDefault="00EC6EAF" w:rsidP="0007575B">
      <w:pPr>
        <w:pStyle w:val="a8"/>
        <w:rPr>
          <w:rFonts w:ascii="Tahoma" w:hAnsi="Tahoma" w:cs="Tahoma"/>
          <w:sz w:val="24"/>
          <w:szCs w:val="24"/>
        </w:rPr>
      </w:pPr>
    </w:p>
    <w:p w14:paraId="61F889DD" w14:textId="16CDD2DB" w:rsidR="00EC6EAF" w:rsidRDefault="00EC6EAF" w:rsidP="0007575B">
      <w:pPr>
        <w:pStyle w:val="a8"/>
        <w:rPr>
          <w:rFonts w:ascii="Tahoma" w:hAnsi="Tahoma" w:cs="Tahoma"/>
          <w:sz w:val="24"/>
          <w:szCs w:val="24"/>
        </w:rPr>
      </w:pPr>
    </w:p>
    <w:p w14:paraId="711EE0CA" w14:textId="48A29F4A" w:rsidR="00EC6EAF" w:rsidRDefault="00EC6EAF" w:rsidP="0007575B">
      <w:pPr>
        <w:pStyle w:val="a8"/>
        <w:rPr>
          <w:rFonts w:ascii="Tahoma" w:hAnsi="Tahoma" w:cs="Tahoma"/>
          <w:sz w:val="24"/>
          <w:szCs w:val="24"/>
        </w:rPr>
      </w:pPr>
    </w:p>
    <w:p w14:paraId="21C5C81B" w14:textId="3B9A6EB4" w:rsidR="00EC6EAF" w:rsidRDefault="00EC6EAF" w:rsidP="0007575B">
      <w:pPr>
        <w:pStyle w:val="a8"/>
        <w:rPr>
          <w:rFonts w:ascii="Tahoma" w:hAnsi="Tahoma" w:cs="Tahoma"/>
          <w:sz w:val="24"/>
          <w:szCs w:val="24"/>
        </w:rPr>
      </w:pPr>
    </w:p>
    <w:p w14:paraId="2E95C064" w14:textId="77777777" w:rsidR="00EC6EAF" w:rsidRDefault="00EC6EAF" w:rsidP="0007575B">
      <w:pPr>
        <w:pStyle w:val="a8"/>
        <w:rPr>
          <w:rFonts w:ascii="Tahoma" w:hAnsi="Tahoma" w:cs="Tahoma"/>
          <w:sz w:val="24"/>
          <w:szCs w:val="24"/>
        </w:rPr>
      </w:pPr>
    </w:p>
    <w:sectPr w:rsidR="00EC6EA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61551" w14:textId="77777777" w:rsidR="00FF1800" w:rsidRDefault="00FF1800" w:rsidP="00A61C28">
      <w:r>
        <w:separator/>
      </w:r>
    </w:p>
  </w:endnote>
  <w:endnote w:type="continuationSeparator" w:id="0">
    <w:p w14:paraId="25331349" w14:textId="77777777" w:rsidR="00FF1800" w:rsidRDefault="00FF1800" w:rsidP="00A6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769402"/>
      <w:docPartObj>
        <w:docPartGallery w:val="Page Numbers (Bottom of Page)"/>
        <w:docPartUnique/>
      </w:docPartObj>
    </w:sdtPr>
    <w:sdtContent>
      <w:p w14:paraId="6CC29BBA" w14:textId="77777777" w:rsidR="00073DBC" w:rsidRDefault="00073DBC" w:rsidP="00A61C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85212" w14:textId="77777777" w:rsidR="00FF1800" w:rsidRDefault="00FF1800" w:rsidP="00A61C28">
      <w:r>
        <w:separator/>
      </w:r>
    </w:p>
  </w:footnote>
  <w:footnote w:type="continuationSeparator" w:id="0">
    <w:p w14:paraId="006EC9BB" w14:textId="77777777" w:rsidR="00FF1800" w:rsidRDefault="00FF1800" w:rsidP="00A61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B13E1"/>
    <w:multiLevelType w:val="hybridMultilevel"/>
    <w:tmpl w:val="5BB4957C"/>
    <w:lvl w:ilvl="0" w:tplc="B3DE01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CA855CB"/>
    <w:multiLevelType w:val="multilevel"/>
    <w:tmpl w:val="64E8A6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2F38339D"/>
    <w:multiLevelType w:val="hybridMultilevel"/>
    <w:tmpl w:val="A112DA06"/>
    <w:lvl w:ilvl="0" w:tplc="950086A4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93F742F"/>
    <w:multiLevelType w:val="hybridMultilevel"/>
    <w:tmpl w:val="83909E10"/>
    <w:lvl w:ilvl="0" w:tplc="5AE80A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DFC3BE7"/>
    <w:multiLevelType w:val="hybridMultilevel"/>
    <w:tmpl w:val="83B2B302"/>
    <w:lvl w:ilvl="0" w:tplc="F21E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E41CD"/>
    <w:multiLevelType w:val="hybridMultilevel"/>
    <w:tmpl w:val="907C8150"/>
    <w:lvl w:ilvl="0" w:tplc="87E84F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FEE4DB5"/>
    <w:multiLevelType w:val="hybridMultilevel"/>
    <w:tmpl w:val="BF12C5D6"/>
    <w:lvl w:ilvl="0" w:tplc="F21E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00376"/>
    <w:multiLevelType w:val="hybridMultilevel"/>
    <w:tmpl w:val="D4BE2184"/>
    <w:lvl w:ilvl="0" w:tplc="F21E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F71EB"/>
    <w:multiLevelType w:val="hybridMultilevel"/>
    <w:tmpl w:val="4464401A"/>
    <w:lvl w:ilvl="0" w:tplc="F21E2E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E4BBE"/>
    <w:multiLevelType w:val="hybridMultilevel"/>
    <w:tmpl w:val="E6921E80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 w15:restartNumberingAfterBreak="0">
    <w:nsid w:val="6FD64694"/>
    <w:multiLevelType w:val="hybridMultilevel"/>
    <w:tmpl w:val="12046814"/>
    <w:lvl w:ilvl="0" w:tplc="08BA38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6DA62E0"/>
    <w:multiLevelType w:val="hybridMultilevel"/>
    <w:tmpl w:val="8432E0CE"/>
    <w:lvl w:ilvl="0" w:tplc="22163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359583">
    <w:abstractNumId w:val="11"/>
  </w:num>
  <w:num w:numId="2" w16cid:durableId="1190409538">
    <w:abstractNumId w:val="9"/>
  </w:num>
  <w:num w:numId="3" w16cid:durableId="55906342">
    <w:abstractNumId w:val="1"/>
  </w:num>
  <w:num w:numId="4" w16cid:durableId="1893273666">
    <w:abstractNumId w:val="8"/>
  </w:num>
  <w:num w:numId="5" w16cid:durableId="1610353778">
    <w:abstractNumId w:val="4"/>
  </w:num>
  <w:num w:numId="6" w16cid:durableId="1348797736">
    <w:abstractNumId w:val="6"/>
  </w:num>
  <w:num w:numId="7" w16cid:durableId="378020709">
    <w:abstractNumId w:val="7"/>
  </w:num>
  <w:num w:numId="8" w16cid:durableId="709651653">
    <w:abstractNumId w:val="2"/>
  </w:num>
  <w:num w:numId="9" w16cid:durableId="627855413">
    <w:abstractNumId w:val="10"/>
  </w:num>
  <w:num w:numId="10" w16cid:durableId="1756509671">
    <w:abstractNumId w:val="3"/>
  </w:num>
  <w:num w:numId="11" w16cid:durableId="1471437001">
    <w:abstractNumId w:val="0"/>
  </w:num>
  <w:num w:numId="12" w16cid:durableId="5150725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804"/>
    <w:rsid w:val="00064373"/>
    <w:rsid w:val="00073DBC"/>
    <w:rsid w:val="0007575B"/>
    <w:rsid w:val="000B15CD"/>
    <w:rsid w:val="00181340"/>
    <w:rsid w:val="001F01DE"/>
    <w:rsid w:val="002070D9"/>
    <w:rsid w:val="00242624"/>
    <w:rsid w:val="0028101B"/>
    <w:rsid w:val="002F4A8A"/>
    <w:rsid w:val="00363CBD"/>
    <w:rsid w:val="003654D0"/>
    <w:rsid w:val="003D4479"/>
    <w:rsid w:val="00463EA9"/>
    <w:rsid w:val="004719C4"/>
    <w:rsid w:val="00491F76"/>
    <w:rsid w:val="00573D05"/>
    <w:rsid w:val="00594DF3"/>
    <w:rsid w:val="005B51A0"/>
    <w:rsid w:val="005F2B1E"/>
    <w:rsid w:val="006E7804"/>
    <w:rsid w:val="00754197"/>
    <w:rsid w:val="00755210"/>
    <w:rsid w:val="00821380"/>
    <w:rsid w:val="00841AE2"/>
    <w:rsid w:val="00867178"/>
    <w:rsid w:val="00881ADF"/>
    <w:rsid w:val="008E2080"/>
    <w:rsid w:val="009570D0"/>
    <w:rsid w:val="00967D53"/>
    <w:rsid w:val="00A61C28"/>
    <w:rsid w:val="00B028D6"/>
    <w:rsid w:val="00B24703"/>
    <w:rsid w:val="00B26D05"/>
    <w:rsid w:val="00B94394"/>
    <w:rsid w:val="00C752B0"/>
    <w:rsid w:val="00C81AF4"/>
    <w:rsid w:val="00D50B7E"/>
    <w:rsid w:val="00D74F01"/>
    <w:rsid w:val="00D97558"/>
    <w:rsid w:val="00D976BA"/>
    <w:rsid w:val="00E124C2"/>
    <w:rsid w:val="00E57A0F"/>
    <w:rsid w:val="00EC6EAF"/>
    <w:rsid w:val="00EE0BE2"/>
    <w:rsid w:val="00EE5F66"/>
    <w:rsid w:val="00EF04FF"/>
    <w:rsid w:val="00F545B9"/>
    <w:rsid w:val="00F95863"/>
    <w:rsid w:val="00FF1800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6DE41"/>
  <w15:docId w15:val="{E8042674-2CAA-482F-BF0A-7627A545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74F0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C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1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1C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1C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671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74F01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a8">
    <w:name w:val="List Paragraph"/>
    <w:basedOn w:val="a"/>
    <w:uiPriority w:val="34"/>
    <w:qFormat/>
    <w:rsid w:val="00D74F01"/>
    <w:pPr>
      <w:suppressAutoHyphens/>
      <w:overflowPunct w:val="0"/>
      <w:autoSpaceDE w:val="0"/>
      <w:ind w:left="720" w:firstLine="567"/>
      <w:contextualSpacing/>
      <w:jc w:val="both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2B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2B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 Bugaev</cp:lastModifiedBy>
  <cp:revision>4</cp:revision>
  <cp:lastPrinted>2022-06-17T19:37:00Z</cp:lastPrinted>
  <dcterms:created xsi:type="dcterms:W3CDTF">2022-10-06T08:16:00Z</dcterms:created>
  <dcterms:modified xsi:type="dcterms:W3CDTF">2022-10-06T08:46:00Z</dcterms:modified>
</cp:coreProperties>
</file>